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Spiritual Action Initiative</w:t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7"/>
        <w:gridCol w:w="6751"/>
        <w:gridCol w:w="1332"/>
        <w:tblGridChange w:id="0">
          <w:tblGrid>
            <w:gridCol w:w="2357"/>
            <w:gridCol w:w="6751"/>
            <w:gridCol w:w="133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venir" w:cs="Avenir" w:eastAsia="Avenir" w:hAnsi="Avenir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venir" w:cs="Avenir" w:eastAsia="Avenir" w:hAnsi="Aveni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8"/>
                <w:szCs w:val="28"/>
                <w:rtl w:val="0"/>
              </w:rPr>
              <w:t xml:space="preserve">Spiritual Action Green Checklist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venir" w:cs="Avenir" w:eastAsia="Avenir" w:hAnsi="Aveni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ame:___________________________________ Week starting:___________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before="12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Give yourself a point for each action to see how green your current practices are.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Find more info on the back of this form, and at spiritualaction.org.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Rule="auto"/>
        <w:rPr>
          <w:rFonts w:ascii="Avenir" w:cs="Avenir" w:eastAsia="Avenir" w:hAnsi="Avenir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7785"/>
        <w:gridCol w:w="1290"/>
        <w:tblGridChange w:id="0">
          <w:tblGrid>
            <w:gridCol w:w="1545"/>
            <w:gridCol w:w="7785"/>
            <w:gridCol w:w="1290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Add a point if progress made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0" w:lineRule="auto"/>
              <w:ind w:left="90" w:right="113" w:firstLine="0"/>
              <w:jc w:val="center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Personal Action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Consumption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Examined source of my food: Ate local, organic, and plant-based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Used water mindfully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Used clean energy mindfully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Bought only things I truly need (didn’t over-consume)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Used only green products from renewable sources (didn’t use disposables and toxics)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Bought items in minimal, compostable packaging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Shopped local (reduces shipping)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B. Proper Disposal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Reused, repurposed and recycled properly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Composted organic waste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Disposed of toxic materials responsibly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C. Non-toxics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Used non-toxic cleaning supplies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Didn’t use air fresheners, fragrances, colors, or cosmetics with synthetics &amp; chemicals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Avoided use of toxic materials like toxic pesticides, herbicides or fertilizers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Avoided use of plastic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  <w:rtl w:val="0"/>
              </w:rPr>
              <w:t xml:space="preserve">D. Transportation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Walked, biked, or used other carbon-free transport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Used public transportation 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Carpooled or used electric/hybrid car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Didn’t take a plane, or minimized air travel and paid carbon tax for flights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1">
            <w:pPr>
              <w:spacing w:line="240" w:lineRule="auto"/>
              <w:ind w:left="113" w:right="113" w:firstLine="0"/>
              <w:jc w:val="center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8"/>
                <w:szCs w:val="28"/>
                <w:rtl w:val="0"/>
              </w:rPr>
              <w:t xml:space="preserve">Social Action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Supported friends &amp; family to act with climate awareness   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Shared climate information with others on how to take compassionate action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Donated money and/or was a member of a climate action organization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Responded or organized a call to green action 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Supported green businesses and banked responsibly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Boycotted or disinvested from corporate and other polluters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3">
            <w:pPr>
              <w:spacing w:line="240" w:lineRule="auto"/>
              <w:ind w:left="115" w:right="115" w:firstLine="0"/>
              <w:jc w:val="center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8"/>
                <w:szCs w:val="28"/>
                <w:rtl w:val="0"/>
              </w:rPr>
              <w:t xml:space="preserve">Spiritual Action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Maintained my personal spiritual practice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Was mindful of my oneness with Earth and all beings while engaging in daily actions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Meditated, prayed, recited mantras, visualized a healthy planet and/or sent healing energy/intentions for Earth and all beings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Approached my activism with love, compassion and grounding in spiritual values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Maintained equanimity, love and positivity in face of obstacles, negativity, greed 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Avenir" w:cs="Avenir" w:eastAsia="Avenir" w:hAnsi="Avenir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1"/>
                <w:szCs w:val="21"/>
                <w:rtl w:val="0"/>
              </w:rPr>
              <w:t xml:space="preserve">Joined other spiritually minded people/groups for social or climate justice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left="360" w:firstLine="0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075">
            <w:pPr>
              <w:jc w:val="right"/>
              <w:rPr>
                <w:rFonts w:ascii="Avenir" w:cs="Avenir" w:eastAsia="Avenir" w:hAnsi="Avenir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Score for the Week: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77">
            <w:pPr>
              <w:ind w:left="360" w:firstLine="0"/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before="120" w:lineRule="auto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i w:val="1"/>
          <w:color w:val="000000"/>
          <w:sz w:val="18"/>
          <w:szCs w:val="18"/>
          <w:rtl w:val="0"/>
        </w:rPr>
        <w:t xml:space="preserve">25-30 points</w:t>
      </w: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color w:val="000000"/>
          <w:sz w:val="18"/>
          <w:szCs w:val="18"/>
          <w:rtl w:val="0"/>
        </w:rPr>
        <w:t xml:space="preserve">Green Bliss</w:t>
      </w: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     </w:t>
      </w:r>
      <w:r w:rsidDel="00000000" w:rsidR="00000000" w:rsidRPr="00000000">
        <w:rPr>
          <w:rFonts w:ascii="Avenir" w:cs="Avenir" w:eastAsia="Avenir" w:hAnsi="Avenir"/>
          <w:i w:val="1"/>
          <w:color w:val="000000"/>
          <w:sz w:val="18"/>
          <w:szCs w:val="18"/>
          <w:rtl w:val="0"/>
        </w:rPr>
        <w:t xml:space="preserve">18-24 points</w:t>
      </w:r>
      <w:r w:rsidDel="00000000" w:rsidR="00000000" w:rsidRPr="00000000">
        <w:rPr>
          <w:rFonts w:ascii="Avenir" w:cs="Avenir" w:eastAsia="Avenir" w:hAnsi="Avenir"/>
          <w:b w:val="1"/>
          <w:color w:val="000000"/>
          <w:sz w:val="18"/>
          <w:szCs w:val="18"/>
          <w:rtl w:val="0"/>
        </w:rPr>
        <w:t xml:space="preserve"> Green Giant</w:t>
      </w: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venir" w:cs="Avenir" w:eastAsia="Avenir" w:hAnsi="Avenir"/>
          <w:i w:val="1"/>
          <w:sz w:val="18"/>
          <w:szCs w:val="18"/>
          <w:rtl w:val="0"/>
        </w:rPr>
        <w:t xml:space="preserve">11-17 points</w:t>
      </w:r>
      <w:r w:rsidDel="00000000" w:rsidR="00000000" w:rsidRPr="00000000">
        <w:rPr>
          <w:rFonts w:ascii="Avenir" w:cs="Avenir" w:eastAsia="Avenir" w:hAnsi="Avenir"/>
          <w:b w:val="1"/>
          <w:sz w:val="18"/>
          <w:szCs w:val="18"/>
          <w:rtl w:val="0"/>
        </w:rPr>
        <w:t xml:space="preserve"> Green Smoothie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Avenir" w:cs="Avenir" w:eastAsia="Avenir" w:hAnsi="Avenir"/>
          <w:b w:val="1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Avenir" w:cs="Avenir" w:eastAsia="Avenir" w:hAnsi="Avenir"/>
          <w:i w:val="1"/>
          <w:sz w:val="18"/>
          <w:szCs w:val="18"/>
          <w:rtl w:val="0"/>
        </w:rPr>
        <w:t xml:space="preserve">5-10 points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sz w:val="18"/>
          <w:szCs w:val="18"/>
          <w:rtl w:val="0"/>
        </w:rPr>
        <w:t xml:space="preserve">Green Sprout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</w:t>
      </w:r>
    </w:p>
    <w:sectPr>
      <w:pgSz w:h="15840" w:w="12240" w:orient="portrait"/>
      <w:pgMar w:bottom="576" w:top="576" w:left="1008" w:right="1008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6E5F"/>
  </w:style>
  <w:style w:type="paragraph" w:styleId="Heading2">
    <w:name w:val="heading 2"/>
    <w:basedOn w:val="Normal"/>
    <w:link w:val="Heading2Char"/>
    <w:uiPriority w:val="9"/>
    <w:rsid w:val="004611C1"/>
    <w:pPr>
      <w:spacing w:afterLines="1" w:beforeLines="1"/>
      <w:outlineLvl w:val="1"/>
    </w:pPr>
    <w:rPr>
      <w:rFonts w:ascii="Times" w:hAnsi="Times"/>
      <w:b w:val="1"/>
      <w:sz w:val="36"/>
      <w:szCs w:val="20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E76DC"/>
    <w:pPr>
      <w:ind w:left="720"/>
      <w:contextualSpacing w:val="1"/>
    </w:pPr>
  </w:style>
  <w:style w:type="character" w:styleId="Hyperlink">
    <w:name w:val="Hyperlink"/>
    <w:basedOn w:val="DefaultParagraphFont"/>
    <w:uiPriority w:val="99"/>
    <w:rsid w:val="00600FDD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4611C1"/>
    <w:rPr>
      <w:rFonts w:ascii="Times" w:hAnsi="Times"/>
      <w:b w:val="1"/>
      <w:sz w:val="36"/>
      <w:szCs w:val="20"/>
    </w:rPr>
  </w:style>
  <w:style w:type="paragraph" w:styleId="NormalWeb">
    <w:name w:val="Normal (Web)"/>
    <w:basedOn w:val="Normal"/>
    <w:uiPriority w:val="99"/>
    <w:rsid w:val="004611C1"/>
    <w:pPr>
      <w:spacing w:afterLines="1" w:beforeLines="1"/>
    </w:pPr>
    <w:rPr>
      <w:rFonts w:ascii="Times" w:cs="Times New Roman" w:hAnsi="Times"/>
      <w:sz w:val="20"/>
      <w:szCs w:val="20"/>
    </w:rPr>
  </w:style>
  <w:style w:type="character" w:styleId="Emphasis">
    <w:name w:val="Emphasis"/>
    <w:basedOn w:val="DefaultParagraphFont"/>
    <w:uiPriority w:val="20"/>
    <w:rsid w:val="004611C1"/>
    <w:rPr>
      <w:i w:val="1"/>
    </w:rPr>
  </w:style>
  <w:style w:type="table" w:styleId="TableGrid">
    <w:name w:val="Table Grid"/>
    <w:basedOn w:val="TableNormal"/>
    <w:uiPriority w:val="59"/>
    <w:rsid w:val="008F7D1B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31A5"/>
    <w:pPr>
      <w:spacing w:after="0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031A5"/>
    <w:rPr>
      <w:rFonts w:ascii="Lucida Grande" w:hAnsi="Lucida Grande"/>
      <w:sz w:val="18"/>
      <w:szCs w:val="18"/>
    </w:rPr>
  </w:style>
  <w:style w:type="paragraph" w:styleId="Revision">
    <w:name w:val="Revision"/>
    <w:hidden w:val="1"/>
    <w:uiPriority w:val="99"/>
    <w:semiHidden w:val="1"/>
    <w:rsid w:val="00B578EF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BfO+E4gI8nG8upR4AgMK6kU4Q==">AMUW2mVmKDUmycet+QhuAUH190mmEB1U3cvitY1cQACtJNgdrBDjhbn93W17GoFoaHuQdcgGo3gOZPlzVorJ7PQ2KA7MntwEJE35C3XutL6IfBrvtDChuyNDFqErPagnjJOqHeHak9Ks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2019-12-06T00:41:00Z</dcterms:created>
  <dc:creator>Beth Fedman</dc:creator>
</cp:coreProperties>
</file>